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6663"/>
        </w:tabs>
        <w:ind w:firstLine="666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24</w:t>
      </w:r>
    </w:p>
    <w:p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Тарифному соглашению на 2018 год </w:t>
      </w:r>
    </w:p>
    <w:p>
      <w:pPr>
        <w:pStyle w:val="ConsPlusNormal"/>
        <w:widowControl/>
        <w:tabs>
          <w:tab w:val="left" w:pos="7020"/>
        </w:tabs>
        <w:ind w:left="6663"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«28»  декабря  2017 года</w:t>
      </w:r>
    </w:p>
    <w:p>
      <w:pPr>
        <w:pStyle w:val="ConsPlusNormal"/>
        <w:widowControl/>
        <w:tabs>
          <w:tab w:val="left" w:pos="7020"/>
        </w:tabs>
        <w:ind w:left="6663" w:firstLine="0"/>
        <w:jc w:val="right"/>
        <w:rPr>
          <w:rFonts w:ascii="Times New Roman" w:hAnsi="Times New Roman" w:cs="Times New Roman"/>
          <w:color w:val="0000FF"/>
          <w:sz w:val="22"/>
          <w:szCs w:val="22"/>
        </w:rPr>
      </w:pPr>
      <w:bookmarkStart w:id="0" w:name="_GoBack"/>
      <w:r>
        <w:rPr>
          <w:rFonts w:ascii="Times New Roman" w:hAnsi="Times New Roman" w:cs="Times New Roman"/>
          <w:color w:val="0000FF"/>
          <w:sz w:val="22"/>
          <w:szCs w:val="22"/>
        </w:rPr>
        <w:t>(добавлено ДС № 2 от 05.02.2018г.)</w:t>
      </w:r>
    </w:p>
    <w:bookmarkEnd w:id="0"/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rPr>
          <w:sz w:val="24"/>
          <w:szCs w:val="24"/>
        </w:rPr>
      </w:pPr>
    </w:p>
    <w:p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расчета за проведение в 2018 году второго этапа </w:t>
      </w:r>
    </w:p>
    <w:p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диспансеризации 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 пациентам, направленным на второй этап в конце 2017 года</w:t>
      </w:r>
    </w:p>
    <w:p>
      <w:pPr>
        <w:ind w:firstLine="567"/>
        <w:jc w:val="center"/>
        <w:rPr>
          <w:b/>
          <w:sz w:val="24"/>
          <w:szCs w:val="24"/>
        </w:rPr>
      </w:pPr>
    </w:p>
    <w:p>
      <w:pPr>
        <w:ind w:firstLine="567"/>
        <w:jc w:val="center"/>
        <w:rPr>
          <w:b/>
          <w:sz w:val="24"/>
          <w:szCs w:val="24"/>
        </w:rPr>
      </w:pPr>
    </w:p>
    <w:p>
      <w:pPr>
        <w:pStyle w:val="a8"/>
        <w:numPr>
          <w:ilvl w:val="0"/>
          <w:numId w:val="18"/>
        </w:numPr>
        <w:spacing w:after="120" w:line="36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Граждане, нуждающиеся по результатам</w:t>
      </w:r>
      <w:r>
        <w:t xml:space="preserve"> </w:t>
      </w:r>
      <w:r>
        <w:rPr>
          <w:sz w:val="24"/>
          <w:szCs w:val="24"/>
        </w:rPr>
        <w:t>первого этапа диспансеризации в дополнительном обследовании, индивидуальном углубленном профилактическом консультировании или групповом профилактическом консультировании (школа пациента) и  направленные в декабре 2017 года, в соответствии с приказом Министерства здравоохранения Российской Федерации от 03.02.2015 г. № 36ан «Об утверждении порядка проведения диспансеризации определенных групп взрослого населения»   на второй этап диспансеризации, период прохождения которого выпал на январь 2018 года, проходят</w:t>
      </w:r>
      <w:proofErr w:type="gramEnd"/>
      <w:r>
        <w:rPr>
          <w:sz w:val="24"/>
          <w:szCs w:val="24"/>
        </w:rPr>
        <w:t xml:space="preserve"> дополнительные обследования (консультирования) согласно направлениям, выданным в 2017 году.  </w:t>
      </w:r>
    </w:p>
    <w:p>
      <w:pPr>
        <w:pStyle w:val="a8"/>
        <w:spacing w:after="120" w:line="360" w:lineRule="auto"/>
        <w:ind w:left="927"/>
        <w:jc w:val="both"/>
        <w:rPr>
          <w:sz w:val="10"/>
          <w:szCs w:val="24"/>
        </w:rPr>
      </w:pPr>
    </w:p>
    <w:p>
      <w:pPr>
        <w:pStyle w:val="a8"/>
        <w:numPr>
          <w:ilvl w:val="0"/>
          <w:numId w:val="18"/>
        </w:numPr>
        <w:spacing w:after="120" w:line="360" w:lineRule="auto"/>
        <w:ind w:left="924" w:hanging="357"/>
        <w:jc w:val="both"/>
        <w:rPr>
          <w:sz w:val="24"/>
          <w:szCs w:val="24"/>
        </w:rPr>
      </w:pPr>
      <w:r>
        <w:rPr>
          <w:sz w:val="24"/>
          <w:szCs w:val="24"/>
        </w:rPr>
        <w:t>Расчет за проведение в 2018 году второго этапа диспансеризации определенных гру</w:t>
      </w:r>
      <w:proofErr w:type="gramStart"/>
      <w:r>
        <w:rPr>
          <w:sz w:val="24"/>
          <w:szCs w:val="24"/>
        </w:rPr>
        <w:t>пп взр</w:t>
      </w:r>
      <w:proofErr w:type="gramEnd"/>
      <w:r>
        <w:rPr>
          <w:sz w:val="24"/>
          <w:szCs w:val="24"/>
        </w:rPr>
        <w:t>ослого населения пациентам, направленным на второй этап в конце 2017 года осуществляется по тарифам,  утвержденным Приложением № 1 к настоящему Порядку, за каждый прием врача-специалиста и каждое лабораторное и функциональное исследование второго этапа диспансеризации отдельно.</w:t>
      </w:r>
    </w:p>
    <w:p>
      <w:pPr>
        <w:pStyle w:val="a8"/>
        <w:spacing w:after="120"/>
        <w:rPr>
          <w:sz w:val="10"/>
          <w:szCs w:val="24"/>
        </w:rPr>
      </w:pPr>
    </w:p>
    <w:p>
      <w:pPr>
        <w:pStyle w:val="a8"/>
        <w:spacing w:after="120" w:line="360" w:lineRule="auto"/>
        <w:ind w:left="924"/>
        <w:jc w:val="both"/>
        <w:rPr>
          <w:sz w:val="8"/>
          <w:szCs w:val="24"/>
        </w:rPr>
      </w:pPr>
    </w:p>
    <w:p>
      <w:pPr>
        <w:pStyle w:val="a8"/>
        <w:numPr>
          <w:ilvl w:val="0"/>
          <w:numId w:val="18"/>
        </w:numPr>
        <w:spacing w:after="120" w:line="360" w:lineRule="auto"/>
        <w:ind w:left="924" w:hanging="357"/>
        <w:jc w:val="both"/>
        <w:rPr>
          <w:sz w:val="24"/>
          <w:szCs w:val="24"/>
        </w:rPr>
      </w:pPr>
      <w:r>
        <w:rPr>
          <w:sz w:val="24"/>
          <w:szCs w:val="24"/>
        </w:rPr>
        <w:t>Медицинские организации, оказавшие в январе 2018 года медицинские услуги, относящиеся ко второму этапу диспансеризации определенных гру</w:t>
      </w:r>
      <w:proofErr w:type="gramStart"/>
      <w:r>
        <w:rPr>
          <w:sz w:val="24"/>
          <w:szCs w:val="24"/>
        </w:rPr>
        <w:t>пп взр</w:t>
      </w:r>
      <w:proofErr w:type="gramEnd"/>
      <w:r>
        <w:rPr>
          <w:sz w:val="24"/>
          <w:szCs w:val="24"/>
        </w:rPr>
        <w:t>ослого населения 2017 года,</w:t>
      </w:r>
      <w:r>
        <w:t xml:space="preserve"> </w:t>
      </w:r>
      <w:r>
        <w:rPr>
          <w:b/>
          <w:sz w:val="24"/>
          <w:szCs w:val="24"/>
        </w:rPr>
        <w:t xml:space="preserve">формируют отдельные счета, </w:t>
      </w:r>
      <w:proofErr w:type="gramStart"/>
      <w:r>
        <w:rPr>
          <w:b/>
          <w:sz w:val="24"/>
          <w:szCs w:val="24"/>
        </w:rPr>
        <w:t>реестры-счетов</w:t>
      </w:r>
      <w:proofErr w:type="gramEnd"/>
      <w:r>
        <w:rPr>
          <w:sz w:val="24"/>
          <w:szCs w:val="24"/>
        </w:rPr>
        <w:t xml:space="preserve"> согласно Приложениям 2-3 к настоящему Порядку. </w:t>
      </w:r>
    </w:p>
    <w:p>
      <w:pPr>
        <w:pStyle w:val="a8"/>
        <w:spacing w:line="360" w:lineRule="auto"/>
        <w:ind w:left="927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jc w:val="right"/>
      </w:pPr>
      <w:r>
        <w:t>Приложение  № 1</w:t>
      </w:r>
    </w:p>
    <w:p>
      <w:pPr>
        <w:jc w:val="right"/>
      </w:pPr>
      <w:r>
        <w:t xml:space="preserve"> к Порядку расчета за проведение</w:t>
      </w:r>
    </w:p>
    <w:p>
      <w:pPr>
        <w:jc w:val="right"/>
      </w:pPr>
      <w:r>
        <w:t xml:space="preserve"> в 2018 году 2 этапа  диспансеризации </w:t>
      </w:r>
    </w:p>
    <w:p>
      <w:pPr>
        <w:jc w:val="right"/>
      </w:pPr>
      <w:r>
        <w:t>определенных гру</w:t>
      </w:r>
      <w:proofErr w:type="gramStart"/>
      <w:r>
        <w:t>пп взр</w:t>
      </w:r>
      <w:proofErr w:type="gramEnd"/>
      <w:r>
        <w:t>ослого населения</w:t>
      </w:r>
    </w:p>
    <w:p>
      <w:pPr>
        <w:jc w:val="right"/>
      </w:pPr>
      <w:r>
        <w:t xml:space="preserve"> пациентам, направленным на второй этап </w:t>
      </w:r>
    </w:p>
    <w:p>
      <w:pPr>
        <w:jc w:val="right"/>
      </w:pPr>
      <w:r>
        <w:t>в конце 2017 года</w:t>
      </w:r>
    </w:p>
    <w:tbl>
      <w:tblPr>
        <w:tblW w:w="9795" w:type="dxa"/>
        <w:tblInd w:w="534" w:type="dxa"/>
        <w:tblLook w:val="04A0" w:firstRow="1" w:lastRow="0" w:firstColumn="1" w:lastColumn="0" w:noHBand="0" w:noVBand="1"/>
      </w:tblPr>
      <w:tblGrid>
        <w:gridCol w:w="9795"/>
      </w:tblGrid>
      <w:tr>
        <w:trPr>
          <w:trHeight w:val="675"/>
        </w:trPr>
        <w:tc>
          <w:tcPr>
            <w:tcW w:w="9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медицинских услуг, относящихся ко  II этапу диспансеризации определенных гру</w:t>
            </w:r>
            <w:proofErr w:type="gramStart"/>
            <w:r>
              <w:rPr>
                <w:b/>
                <w:bCs/>
                <w:sz w:val="24"/>
                <w:szCs w:val="24"/>
              </w:rPr>
              <w:t>пп взр</w:t>
            </w:r>
            <w:proofErr w:type="gramEnd"/>
            <w:r>
              <w:rPr>
                <w:b/>
                <w:bCs/>
                <w:sz w:val="24"/>
                <w:szCs w:val="24"/>
              </w:rPr>
              <w:t>ослого населения 2017 года, оказанных в 2018 году:</w:t>
            </w:r>
          </w:p>
          <w:p>
            <w:pPr>
              <w:jc w:val="center"/>
              <w:rPr>
                <w:b/>
                <w:bCs/>
                <w:sz w:val="6"/>
                <w:szCs w:val="24"/>
              </w:rPr>
            </w:pPr>
          </w:p>
        </w:tc>
      </w:tr>
    </w:tbl>
    <w:p>
      <w:pPr>
        <w:jc w:val="right"/>
      </w:pPr>
    </w:p>
    <w:tbl>
      <w:tblPr>
        <w:tblW w:w="15260" w:type="dxa"/>
        <w:tblInd w:w="93" w:type="dxa"/>
        <w:tblLook w:val="04A0" w:firstRow="1" w:lastRow="0" w:firstColumn="1" w:lastColumn="0" w:noHBand="0" w:noVBand="1"/>
      </w:tblPr>
      <w:tblGrid>
        <w:gridCol w:w="441"/>
        <w:gridCol w:w="567"/>
        <w:gridCol w:w="7938"/>
        <w:gridCol w:w="1559"/>
        <w:gridCol w:w="4755"/>
      </w:tblGrid>
      <w:tr>
        <w:trPr>
          <w:gridBefore w:val="1"/>
          <w:gridAfter w:val="1"/>
          <w:wBefore w:w="441" w:type="dxa"/>
          <w:wAfter w:w="4755" w:type="dxa"/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2"/>
              </w:rPr>
              <w:t>п</w:t>
            </w:r>
            <w:proofErr w:type="gramEnd"/>
            <w:r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Стоимость одной услуги (руб.)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8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>
              <w:rPr>
                <w:sz w:val="22"/>
                <w:szCs w:val="22"/>
              </w:rPr>
              <w:t>дислипидемия</w:t>
            </w:r>
            <w:proofErr w:type="spellEnd"/>
            <w:r>
              <w:rPr>
                <w:sz w:val="22"/>
                <w:szCs w:val="22"/>
              </w:rPr>
              <w:t>, избыточная масса тела или ожирение)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1 198,6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1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Эзофагогастродуоденоскопия</w:t>
            </w:r>
            <w:proofErr w:type="spellEnd"/>
            <w:r>
              <w:rPr>
                <w:sz w:val="22"/>
                <w:szCs w:val="22"/>
              </w:rPr>
              <w:t xml:space="preserve">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2 136,5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666,2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7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700,3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2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Осмотр (консультация) врачом-хирургом или врачом-</w:t>
            </w:r>
            <w:proofErr w:type="spellStart"/>
            <w:r>
              <w:rPr>
                <w:sz w:val="22"/>
                <w:szCs w:val="22"/>
              </w:rPr>
              <w:t>колопроктологом</w:t>
            </w:r>
            <w:proofErr w:type="spellEnd"/>
            <w:r>
              <w:rPr>
                <w:sz w:val="22"/>
                <w:szCs w:val="22"/>
              </w:rPr>
              <w:t xml:space="preserve"> (для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>
              <w:rPr>
                <w:sz w:val="22"/>
                <w:szCs w:val="22"/>
              </w:rPr>
              <w:t>полипозу</w:t>
            </w:r>
            <w:proofErr w:type="spellEnd"/>
            <w:r>
              <w:rPr>
                <w:sz w:val="22"/>
                <w:szCs w:val="22"/>
              </w:rPr>
              <w:t xml:space="preserve">, онкологическим заболеваниям </w:t>
            </w:r>
            <w:proofErr w:type="spellStart"/>
            <w:r>
              <w:rPr>
                <w:sz w:val="22"/>
                <w:szCs w:val="22"/>
              </w:rPr>
              <w:t>колоректальной</w:t>
            </w:r>
            <w:proofErr w:type="spellEnd"/>
            <w:r>
              <w:rPr>
                <w:sz w:val="22"/>
                <w:szCs w:val="22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>
              <w:rPr>
                <w:sz w:val="22"/>
                <w:szCs w:val="22"/>
              </w:rPr>
              <w:t>колоректальной</w:t>
            </w:r>
            <w:proofErr w:type="spellEnd"/>
            <w:r>
              <w:rPr>
                <w:sz w:val="22"/>
                <w:szCs w:val="22"/>
              </w:rPr>
              <w:t xml:space="preserve"> области)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545,7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8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Колоноскопия</w:t>
            </w:r>
            <w:proofErr w:type="spellEnd"/>
            <w:r>
              <w:rPr>
                <w:sz w:val="22"/>
                <w:szCs w:val="22"/>
              </w:rPr>
              <w:t xml:space="preserve"> или </w:t>
            </w:r>
            <w:proofErr w:type="spellStart"/>
            <w:r>
              <w:rPr>
                <w:sz w:val="22"/>
                <w:szCs w:val="22"/>
              </w:rPr>
              <w:t>ректороманоскопия</w:t>
            </w:r>
            <w:proofErr w:type="spellEnd"/>
            <w:r>
              <w:rPr>
                <w:sz w:val="22"/>
                <w:szCs w:val="22"/>
              </w:rPr>
              <w:t xml:space="preserve"> (в случае подозрения на онкологическое заболевание толстой кишки по назначению врача-хирурга или врача-</w:t>
            </w:r>
            <w:proofErr w:type="spellStart"/>
            <w:r>
              <w:rPr>
                <w:sz w:val="22"/>
                <w:szCs w:val="22"/>
              </w:rPr>
              <w:t>колопроктолога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3 692,8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99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589,5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40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 – забор крови (по необходимости)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t>182,4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4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 – определение липидного спектра крови (уровень общего холестерина, холестерина </w:t>
            </w:r>
            <w:r>
              <w:rPr>
                <w:i/>
                <w:szCs w:val="22"/>
              </w:rPr>
              <w:lastRenderedPageBreak/>
              <w:t xml:space="preserve">липопротеидов высокой плотности, холестерина липопротеидов низкой плотности, триглицеридов)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lastRenderedPageBreak/>
              <w:t>407,1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650,6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83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Определение концентрации </w:t>
            </w:r>
            <w:proofErr w:type="spellStart"/>
            <w:r>
              <w:rPr>
                <w:bCs/>
                <w:sz w:val="22"/>
                <w:szCs w:val="22"/>
              </w:rPr>
              <w:t>гликированного</w:t>
            </w:r>
            <w:proofErr w:type="spellEnd"/>
            <w:r>
              <w:rPr>
                <w:bCs/>
                <w:sz w:val="22"/>
                <w:szCs w:val="22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537,41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4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 – забор крови (дважды)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t>182,4*2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56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 – определение концентрации </w:t>
            </w:r>
            <w:proofErr w:type="spellStart"/>
            <w:r>
              <w:rPr>
                <w:i/>
                <w:szCs w:val="22"/>
              </w:rPr>
              <w:t>гликированного</w:t>
            </w:r>
            <w:proofErr w:type="spellEnd"/>
            <w:r>
              <w:rPr>
                <w:i/>
                <w:szCs w:val="22"/>
              </w:rPr>
              <w:t xml:space="preserve"> гемоглобина в крови или тест на толерантность к глюкозе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t>172,61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Осмотр (консультация) врачом-</w:t>
            </w:r>
            <w:proofErr w:type="spellStart"/>
            <w:r>
              <w:rPr>
                <w:sz w:val="22"/>
                <w:szCs w:val="22"/>
              </w:rPr>
              <w:t>оториноларингологом</w:t>
            </w:r>
            <w:proofErr w:type="spellEnd"/>
            <w:r>
              <w:rPr>
                <w:sz w:val="22"/>
                <w:szCs w:val="22"/>
              </w:rPr>
              <w:t xml:space="preserve">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539,6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26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Анализ крови на уровень содержания </w:t>
            </w:r>
            <w:proofErr w:type="spellStart"/>
            <w:r>
              <w:rPr>
                <w:bCs/>
                <w:sz w:val="22"/>
                <w:szCs w:val="22"/>
              </w:rPr>
              <w:t>простатспецифического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590,2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4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 – забор крови (по необходимости)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t>182,4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41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both"/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– анализ крови на уровень содержания </w:t>
            </w:r>
            <w:proofErr w:type="spellStart"/>
            <w:r>
              <w:rPr>
                <w:i/>
                <w:szCs w:val="22"/>
              </w:rPr>
              <w:t>простатспецифического</w:t>
            </w:r>
            <w:proofErr w:type="spellEnd"/>
            <w:r>
              <w:rPr>
                <w:i/>
                <w:szCs w:val="22"/>
              </w:rPr>
              <w:t xml:space="preserve"> антигена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t>407,8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0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578,2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2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>
              <w:rPr>
                <w:sz w:val="22"/>
                <w:szCs w:val="22"/>
              </w:rPr>
              <w:t>сердечно-сосудистый</w:t>
            </w:r>
            <w:proofErr w:type="gramEnd"/>
            <w:r>
              <w:rPr>
                <w:sz w:val="22"/>
                <w:szCs w:val="22"/>
              </w:rPr>
              <w:t xml:space="preserve"> риск)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588,7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809,2</w:t>
            </w:r>
          </w:p>
        </w:tc>
      </w:tr>
      <w:tr>
        <w:trPr>
          <w:trHeight w:val="698"/>
        </w:trPr>
        <w:tc>
          <w:tcPr>
            <w:tcW w:w="15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color w:val="000000"/>
              </w:rPr>
            </w:pPr>
          </w:p>
        </w:tc>
      </w:tr>
    </w:tbl>
    <w:p>
      <w:pPr>
        <w:jc w:val="center"/>
        <w:rPr>
          <w:b/>
          <w:bCs/>
          <w:color w:val="000000"/>
          <w:sz w:val="22"/>
          <w:szCs w:val="22"/>
        </w:rPr>
        <w:sectPr>
          <w:pgSz w:w="11906" w:h="16838"/>
          <w:pgMar w:top="1134" w:right="851" w:bottom="709" w:left="709" w:header="709" w:footer="709" w:gutter="0"/>
          <w:cols w:space="708"/>
          <w:docGrid w:linePitch="360"/>
        </w:sectPr>
      </w:pPr>
    </w:p>
    <w:p>
      <w:pPr>
        <w:jc w:val="right"/>
      </w:pPr>
      <w:r>
        <w:lastRenderedPageBreak/>
        <w:t>Приложение  № 2</w:t>
      </w:r>
    </w:p>
    <w:p>
      <w:pPr>
        <w:jc w:val="right"/>
      </w:pPr>
      <w:r>
        <w:t xml:space="preserve"> к Порядку расчета за проведение</w:t>
      </w:r>
    </w:p>
    <w:p>
      <w:pPr>
        <w:jc w:val="right"/>
      </w:pPr>
      <w:r>
        <w:t xml:space="preserve"> в 2018 году 2 этапа  диспансеризации </w:t>
      </w:r>
    </w:p>
    <w:p>
      <w:pPr>
        <w:jc w:val="right"/>
      </w:pPr>
      <w:r>
        <w:t>определенных гру</w:t>
      </w:r>
      <w:proofErr w:type="gramStart"/>
      <w:r>
        <w:t>пп взр</w:t>
      </w:r>
      <w:proofErr w:type="gramEnd"/>
      <w:r>
        <w:t>ослого населения</w:t>
      </w:r>
    </w:p>
    <w:p>
      <w:pPr>
        <w:jc w:val="right"/>
      </w:pPr>
      <w:r>
        <w:t xml:space="preserve"> пациентам, направленным на второй этап </w:t>
      </w:r>
    </w:p>
    <w:p>
      <w:pPr>
        <w:jc w:val="right"/>
      </w:pPr>
      <w:r>
        <w:t>в конце 2017 года</w:t>
      </w:r>
    </w:p>
    <w:p>
      <w:pPr>
        <w:jc w:val="center"/>
        <w:rPr>
          <w:b/>
          <w:bCs/>
          <w:color w:val="000000"/>
          <w:sz w:val="22"/>
          <w:szCs w:val="22"/>
        </w:rPr>
      </w:pPr>
    </w:p>
    <w:tbl>
      <w:tblPr>
        <w:tblW w:w="15118" w:type="dxa"/>
        <w:tblInd w:w="93" w:type="dxa"/>
        <w:tblLook w:val="04A0" w:firstRow="1" w:lastRow="0" w:firstColumn="1" w:lastColumn="0" w:noHBand="0" w:noVBand="1"/>
      </w:tblPr>
      <w:tblGrid>
        <w:gridCol w:w="397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640"/>
        <w:gridCol w:w="881"/>
        <w:gridCol w:w="1154"/>
        <w:gridCol w:w="621"/>
        <w:gridCol w:w="640"/>
        <w:gridCol w:w="881"/>
        <w:gridCol w:w="1154"/>
        <w:gridCol w:w="621"/>
        <w:gridCol w:w="364"/>
        <w:gridCol w:w="364"/>
        <w:gridCol w:w="1343"/>
        <w:gridCol w:w="1306"/>
      </w:tblGrid>
      <w:tr>
        <w:trPr>
          <w:trHeight w:val="211"/>
        </w:trPr>
        <w:tc>
          <w:tcPr>
            <w:tcW w:w="1511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>
        <w:trPr>
          <w:trHeight w:val="720"/>
        </w:trPr>
        <w:tc>
          <w:tcPr>
            <w:tcW w:w="1511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на оплату медицинской помощи, оказанной застрахованному лицу в 2018 году</w:t>
            </w:r>
            <w:r>
              <w:rPr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пп взр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ослого населения 2017 года </w:t>
            </w:r>
          </w:p>
        </w:tc>
      </w:tr>
      <w:tr>
        <w:trPr>
          <w:trHeight w:val="563"/>
        </w:trPr>
        <w:tc>
          <w:tcPr>
            <w:tcW w:w="1511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>
        <w:trPr>
          <w:trHeight w:val="518"/>
        </w:trPr>
        <w:tc>
          <w:tcPr>
            <w:tcW w:w="1511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 период </w:t>
            </w:r>
            <w:proofErr w:type="gramStart"/>
            <w:r>
              <w:rPr>
                <w:color w:val="000000"/>
                <w:sz w:val="22"/>
                <w:szCs w:val="22"/>
              </w:rPr>
              <w:t>с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>
        <w:trPr>
          <w:trHeight w:val="709"/>
        </w:trPr>
        <w:tc>
          <w:tcPr>
            <w:tcW w:w="1511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>
        <w:trPr>
          <w:trHeight w:val="2396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3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лицу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>
        <w:trPr>
          <w:trHeight w:val="300"/>
        </w:trPr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2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2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>
        <w:trPr>
          <w:trHeight w:val="819"/>
        </w:trPr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908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57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(подпись, расшифровка подписи</w:t>
            </w:r>
            <w:proofErr w:type="gramEnd"/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908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908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57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57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>
      <w:pPr>
        <w:sectPr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>
      <w:pPr>
        <w:autoSpaceDE w:val="0"/>
        <w:autoSpaceDN w:val="0"/>
        <w:adjustRightInd w:val="0"/>
        <w:jc w:val="right"/>
        <w:outlineLvl w:val="0"/>
      </w:pPr>
      <w:r>
        <w:lastRenderedPageBreak/>
        <w:t xml:space="preserve">Приложение  3 </w:t>
      </w:r>
    </w:p>
    <w:p>
      <w:pPr>
        <w:autoSpaceDE w:val="0"/>
        <w:autoSpaceDN w:val="0"/>
        <w:adjustRightInd w:val="0"/>
        <w:jc w:val="right"/>
        <w:outlineLvl w:val="0"/>
      </w:pPr>
      <w:r>
        <w:t>к Порядку расчета за проведение</w:t>
      </w:r>
    </w:p>
    <w:p>
      <w:pPr>
        <w:autoSpaceDE w:val="0"/>
        <w:autoSpaceDN w:val="0"/>
        <w:adjustRightInd w:val="0"/>
        <w:jc w:val="right"/>
        <w:outlineLvl w:val="0"/>
      </w:pPr>
      <w:r>
        <w:t xml:space="preserve"> в 2018 году 2 этапа  диспансеризации </w:t>
      </w:r>
    </w:p>
    <w:p>
      <w:pPr>
        <w:autoSpaceDE w:val="0"/>
        <w:autoSpaceDN w:val="0"/>
        <w:adjustRightInd w:val="0"/>
        <w:jc w:val="right"/>
        <w:outlineLvl w:val="0"/>
      </w:pPr>
      <w:r>
        <w:t>определенных гру</w:t>
      </w:r>
      <w:proofErr w:type="gramStart"/>
      <w:r>
        <w:t>пп взр</w:t>
      </w:r>
      <w:proofErr w:type="gramEnd"/>
      <w:r>
        <w:t>ослого населения</w:t>
      </w:r>
    </w:p>
    <w:p>
      <w:pPr>
        <w:autoSpaceDE w:val="0"/>
        <w:autoSpaceDN w:val="0"/>
        <w:adjustRightInd w:val="0"/>
        <w:jc w:val="right"/>
        <w:outlineLvl w:val="0"/>
      </w:pPr>
      <w:r>
        <w:t xml:space="preserve"> пациентам, направленным на второй этап </w:t>
      </w:r>
    </w:p>
    <w:p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 конце 2017 года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оплату расходов за проведение  в 2018 году второго этапа  диспансеризации 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 xml:space="preserve">ослого населения  пациентам, направленным 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второй этап в конце 2017 года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_______________________________________</w:t>
      </w:r>
    </w:p>
    <w:p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(наименование страховой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>
        <w:trPr>
          <w:trHeight w:val="1033"/>
        </w:trPr>
        <w:tc>
          <w:tcPr>
            <w:tcW w:w="478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проведение диспансеризации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диспансеризации по каждому виду услуг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к оплате (НДС не облагается)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</w:pPr>
      <w:r>
        <w:rPr>
          <w:sz w:val="24"/>
          <w:szCs w:val="24"/>
        </w:rPr>
        <w:t>Руководитель медицинской организации    __________________              _______________</w:t>
      </w:r>
    </w:p>
    <w:p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              </w:t>
      </w:r>
    </w:p>
    <w:p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/>
        </w:tc>
      </w:tr>
    </w:tbl>
    <w:p/>
    <w:sectPr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9213183"/>
    <w:multiLevelType w:val="hybridMultilevel"/>
    <w:tmpl w:val="6040ED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3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7C035835"/>
    <w:multiLevelType w:val="hybridMultilevel"/>
    <w:tmpl w:val="24ECF2E2"/>
    <w:lvl w:ilvl="0" w:tplc="A1AA98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8"/>
  </w:num>
  <w:num w:numId="5">
    <w:abstractNumId w:val="6"/>
  </w:num>
  <w:num w:numId="6">
    <w:abstractNumId w:val="0"/>
  </w:num>
  <w:num w:numId="7">
    <w:abstractNumId w:val="14"/>
  </w:num>
  <w:num w:numId="8">
    <w:abstractNumId w:val="5"/>
  </w:num>
  <w:num w:numId="9">
    <w:abstractNumId w:val="9"/>
  </w:num>
  <w:num w:numId="10">
    <w:abstractNumId w:val="12"/>
  </w:num>
  <w:num w:numId="11">
    <w:abstractNumId w:val="11"/>
  </w:num>
  <w:num w:numId="12">
    <w:abstractNumId w:val="1"/>
  </w:num>
  <w:num w:numId="13">
    <w:abstractNumId w:val="2"/>
  </w:num>
  <w:num w:numId="14">
    <w:abstractNumId w:val="17"/>
  </w:num>
  <w:num w:numId="15">
    <w:abstractNumId w:val="13"/>
  </w:num>
  <w:num w:numId="16">
    <w:abstractNumId w:val="7"/>
  </w:num>
  <w:num w:numId="17">
    <w:abstractNumId w:val="4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900E8-381A-4AEC-A32F-5BBC3191D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3705</TotalTime>
  <Pages>5</Pages>
  <Words>1707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11418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Казенцева О.И.</cp:lastModifiedBy>
  <cp:revision>287</cp:revision>
  <cp:lastPrinted>2018-02-05T03:53:00Z</cp:lastPrinted>
  <dcterms:created xsi:type="dcterms:W3CDTF">2013-04-08T23:06:00Z</dcterms:created>
  <dcterms:modified xsi:type="dcterms:W3CDTF">2018-02-19T04:12:00Z</dcterms:modified>
</cp:coreProperties>
</file>